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C30BA">
      <w:pPr>
        <w:pStyle w:val="2"/>
        <w:jc w:val="center"/>
        <w:rPr>
          <w:sz w:val="32"/>
          <w:szCs w:val="32"/>
        </w:rPr>
      </w:pPr>
      <w:r>
        <w:rPr>
          <w:rStyle w:val="5"/>
          <w:rFonts w:hint="eastAsia" w:asciiTheme="minorEastAsia" w:hAnsiTheme="minorEastAsia" w:eastAsiaTheme="minorEastAsia" w:cstheme="minorEastAsia"/>
          <w:b/>
          <w:bCs w:val="0"/>
          <w:i w:val="0"/>
          <w:iCs w:val="0"/>
          <w:caps w:val="0"/>
          <w:color w:val="333333"/>
          <w:spacing w:val="0"/>
          <w:sz w:val="32"/>
          <w:szCs w:val="32"/>
          <w:lang w:val="en-US" w:eastAsia="zh-CN"/>
        </w:rPr>
        <w:t>珠海理工学校物流部乐龙仿真平台升级服务采</w:t>
      </w:r>
      <w:r>
        <w:rPr>
          <w:rFonts w:hint="eastAsia" w:asciiTheme="minorEastAsia" w:hAnsiTheme="minorEastAsia" w:eastAsiaTheme="minorEastAsia" w:cstheme="minorEastAsia"/>
          <w:b/>
          <w:bCs w:val="0"/>
          <w:i w:val="0"/>
          <w:iCs w:val="0"/>
          <w:caps w:val="0"/>
          <w:color w:val="333333"/>
          <w:spacing w:val="0"/>
          <w:sz w:val="32"/>
          <w:szCs w:val="32"/>
          <w:lang w:val="en-US" w:eastAsia="zh-CN"/>
        </w:rPr>
        <w:t>购需求</w:t>
      </w:r>
    </w:p>
    <w:p w14:paraId="09C6E7E0">
      <w:pPr>
        <w:pStyle w:val="2"/>
        <w:rPr>
          <w:sz w:val="20"/>
        </w:rPr>
      </w:pPr>
    </w:p>
    <w:p w14:paraId="08146559">
      <w:pPr>
        <w:pStyle w:val="2"/>
        <w:spacing w:before="9"/>
        <w:rPr>
          <w:sz w:val="17"/>
        </w:rPr>
      </w:pPr>
    </w:p>
    <w:tbl>
      <w:tblPr>
        <w:tblStyle w:val="3"/>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3"/>
        <w:gridCol w:w="1119"/>
        <w:gridCol w:w="5436"/>
        <w:gridCol w:w="456"/>
        <w:gridCol w:w="750"/>
        <w:gridCol w:w="1123"/>
        <w:gridCol w:w="1125"/>
      </w:tblGrid>
      <w:tr w14:paraId="7FE31E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0" w:hRule="atLeast"/>
        </w:trPr>
        <w:tc>
          <w:tcPr>
            <w:tcW w:w="713" w:type="dxa"/>
          </w:tcPr>
          <w:p w14:paraId="6099E7AC">
            <w:pPr>
              <w:pStyle w:val="8"/>
              <w:jc w:val="center"/>
              <w:rPr>
                <w:b/>
                <w:bCs/>
                <w:sz w:val="24"/>
              </w:rPr>
            </w:pPr>
          </w:p>
          <w:p w14:paraId="3D49889F">
            <w:pPr>
              <w:pStyle w:val="8"/>
              <w:spacing w:before="193"/>
              <w:ind w:left="108"/>
              <w:jc w:val="center"/>
              <w:rPr>
                <w:b/>
                <w:bCs/>
                <w:sz w:val="24"/>
              </w:rPr>
            </w:pPr>
            <w:r>
              <w:rPr>
                <w:b/>
                <w:bCs/>
                <w:sz w:val="24"/>
              </w:rPr>
              <w:t>编号</w:t>
            </w:r>
          </w:p>
        </w:tc>
        <w:tc>
          <w:tcPr>
            <w:tcW w:w="1119" w:type="dxa"/>
          </w:tcPr>
          <w:p w14:paraId="02B9202E">
            <w:pPr>
              <w:pStyle w:val="8"/>
              <w:spacing w:before="11"/>
              <w:jc w:val="center"/>
              <w:rPr>
                <w:b/>
                <w:bCs/>
                <w:sz w:val="20"/>
              </w:rPr>
            </w:pPr>
          </w:p>
          <w:p w14:paraId="4311919C">
            <w:pPr>
              <w:pStyle w:val="8"/>
              <w:spacing w:line="364" w:lineRule="auto"/>
              <w:ind w:left="108" w:right="96"/>
              <w:jc w:val="center"/>
              <w:rPr>
                <w:b/>
                <w:bCs/>
                <w:sz w:val="24"/>
              </w:rPr>
            </w:pPr>
            <w:r>
              <w:rPr>
                <w:b/>
                <w:bCs/>
                <w:spacing w:val="-29"/>
                <w:sz w:val="24"/>
              </w:rPr>
              <w:t>设备</w:t>
            </w:r>
            <w:r>
              <w:rPr>
                <w:b/>
                <w:bCs/>
                <w:sz w:val="24"/>
              </w:rPr>
              <w:t>（</w:t>
            </w:r>
            <w:r>
              <w:rPr>
                <w:b/>
                <w:bCs/>
                <w:spacing w:val="-17"/>
                <w:sz w:val="24"/>
              </w:rPr>
              <w:t>软</w:t>
            </w:r>
            <w:r>
              <w:rPr>
                <w:b/>
                <w:bCs/>
                <w:sz w:val="24"/>
              </w:rPr>
              <w:t>件</w:t>
            </w:r>
            <w:r>
              <w:rPr>
                <w:b/>
                <w:bCs/>
                <w:spacing w:val="-58"/>
                <w:sz w:val="24"/>
              </w:rPr>
              <w:t>）</w:t>
            </w:r>
            <w:r>
              <w:rPr>
                <w:b/>
                <w:bCs/>
                <w:spacing w:val="-9"/>
                <w:sz w:val="24"/>
              </w:rPr>
              <w:t>名称</w:t>
            </w:r>
          </w:p>
        </w:tc>
        <w:tc>
          <w:tcPr>
            <w:tcW w:w="5436" w:type="dxa"/>
          </w:tcPr>
          <w:p w14:paraId="6D068801">
            <w:pPr>
              <w:pStyle w:val="8"/>
              <w:jc w:val="center"/>
              <w:rPr>
                <w:b/>
                <w:bCs/>
                <w:sz w:val="24"/>
              </w:rPr>
            </w:pPr>
          </w:p>
          <w:p w14:paraId="26FBA4DD">
            <w:pPr>
              <w:pStyle w:val="8"/>
              <w:spacing w:before="193"/>
              <w:ind w:left="107"/>
              <w:jc w:val="center"/>
              <w:rPr>
                <w:b/>
                <w:bCs/>
                <w:sz w:val="24"/>
              </w:rPr>
            </w:pPr>
            <w:r>
              <w:rPr>
                <w:b/>
                <w:bCs/>
                <w:sz w:val="24"/>
              </w:rPr>
              <w:t>规格/参数或要求</w:t>
            </w:r>
          </w:p>
        </w:tc>
        <w:tc>
          <w:tcPr>
            <w:tcW w:w="456" w:type="dxa"/>
          </w:tcPr>
          <w:p w14:paraId="0BFDA952">
            <w:pPr>
              <w:pStyle w:val="8"/>
              <w:spacing w:before="11"/>
              <w:jc w:val="center"/>
              <w:rPr>
                <w:b/>
                <w:bCs/>
                <w:sz w:val="20"/>
              </w:rPr>
            </w:pPr>
          </w:p>
          <w:p w14:paraId="027AB1D6">
            <w:pPr>
              <w:pStyle w:val="8"/>
              <w:spacing w:line="364" w:lineRule="auto"/>
              <w:ind w:left="107" w:right="96"/>
              <w:jc w:val="center"/>
              <w:rPr>
                <w:b/>
                <w:bCs/>
                <w:sz w:val="24"/>
              </w:rPr>
            </w:pPr>
            <w:r>
              <w:rPr>
                <w:b/>
                <w:bCs/>
                <w:sz w:val="24"/>
              </w:rPr>
              <w:t>单位</w:t>
            </w:r>
          </w:p>
        </w:tc>
        <w:tc>
          <w:tcPr>
            <w:tcW w:w="750" w:type="dxa"/>
          </w:tcPr>
          <w:p w14:paraId="1EB71CBD">
            <w:pPr>
              <w:pStyle w:val="8"/>
              <w:jc w:val="center"/>
              <w:rPr>
                <w:b/>
                <w:bCs/>
                <w:sz w:val="24"/>
              </w:rPr>
            </w:pPr>
          </w:p>
          <w:p w14:paraId="7D8085F0">
            <w:pPr>
              <w:pStyle w:val="8"/>
              <w:spacing w:before="193"/>
              <w:ind w:left="107"/>
              <w:jc w:val="center"/>
              <w:rPr>
                <w:b/>
                <w:bCs/>
                <w:sz w:val="24"/>
              </w:rPr>
            </w:pPr>
            <w:r>
              <w:rPr>
                <w:b/>
                <w:bCs/>
                <w:sz w:val="24"/>
              </w:rPr>
              <w:t>数量</w:t>
            </w:r>
          </w:p>
        </w:tc>
        <w:tc>
          <w:tcPr>
            <w:tcW w:w="1123" w:type="dxa"/>
          </w:tcPr>
          <w:p w14:paraId="46F854C3">
            <w:pPr>
              <w:pStyle w:val="8"/>
              <w:spacing w:before="11"/>
              <w:jc w:val="center"/>
              <w:rPr>
                <w:b/>
                <w:bCs/>
                <w:sz w:val="20"/>
              </w:rPr>
            </w:pPr>
          </w:p>
          <w:p w14:paraId="4BC272D5">
            <w:pPr>
              <w:pStyle w:val="8"/>
              <w:spacing w:before="161"/>
              <w:ind w:left="106"/>
              <w:jc w:val="center"/>
              <w:rPr>
                <w:rFonts w:hint="eastAsia"/>
                <w:b/>
                <w:bCs/>
                <w:sz w:val="24"/>
                <w:lang w:val="en-US" w:eastAsia="zh-CN"/>
              </w:rPr>
            </w:pPr>
            <w:r>
              <w:rPr>
                <w:rFonts w:hint="eastAsia"/>
                <w:b/>
                <w:bCs/>
                <w:sz w:val="24"/>
                <w:lang w:val="en-US" w:eastAsia="zh-CN"/>
              </w:rPr>
              <w:t>是否响应</w:t>
            </w:r>
          </w:p>
          <w:p w14:paraId="225F9359">
            <w:pPr>
              <w:pStyle w:val="8"/>
              <w:spacing w:before="161"/>
              <w:ind w:left="106"/>
              <w:jc w:val="center"/>
              <w:rPr>
                <w:rFonts w:hint="default"/>
                <w:b/>
                <w:bCs/>
                <w:sz w:val="24"/>
                <w:lang w:val="en-US" w:eastAsia="zh-CN"/>
              </w:rPr>
            </w:pPr>
            <w:r>
              <w:rPr>
                <w:rFonts w:hint="eastAsia"/>
                <w:b/>
                <w:bCs/>
                <w:sz w:val="24"/>
                <w:lang w:val="en-US" w:eastAsia="zh-CN"/>
              </w:rPr>
              <w:t>（必填）</w:t>
            </w:r>
          </w:p>
        </w:tc>
        <w:tc>
          <w:tcPr>
            <w:tcW w:w="1125" w:type="dxa"/>
          </w:tcPr>
          <w:p w14:paraId="62E50B33">
            <w:pPr>
              <w:pStyle w:val="8"/>
              <w:spacing w:before="11"/>
              <w:jc w:val="center"/>
              <w:rPr>
                <w:b/>
                <w:bCs/>
                <w:sz w:val="20"/>
              </w:rPr>
            </w:pPr>
          </w:p>
          <w:p w14:paraId="3F442024">
            <w:pPr>
              <w:pStyle w:val="8"/>
              <w:spacing w:before="161"/>
              <w:ind w:left="106"/>
              <w:jc w:val="center"/>
              <w:rPr>
                <w:b/>
                <w:bCs/>
                <w:sz w:val="24"/>
              </w:rPr>
            </w:pPr>
            <w:r>
              <w:rPr>
                <w:rFonts w:hint="eastAsia"/>
                <w:b/>
                <w:bCs/>
                <w:sz w:val="24"/>
                <w:lang w:val="en-US" w:eastAsia="zh-CN"/>
              </w:rPr>
              <w:t>报价</w:t>
            </w:r>
            <w:r>
              <w:rPr>
                <w:b/>
                <w:bCs/>
                <w:sz w:val="24"/>
              </w:rPr>
              <w:t>（元）</w:t>
            </w:r>
          </w:p>
        </w:tc>
      </w:tr>
      <w:tr w14:paraId="69B48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36" w:hRule="atLeast"/>
        </w:trPr>
        <w:tc>
          <w:tcPr>
            <w:tcW w:w="713" w:type="dxa"/>
          </w:tcPr>
          <w:p w14:paraId="16A3340F">
            <w:pPr>
              <w:pStyle w:val="8"/>
              <w:spacing w:before="193"/>
              <w:ind w:left="108"/>
              <w:jc w:val="center"/>
              <w:rPr>
                <w:rFonts w:hint="eastAsia" w:eastAsia="宋体"/>
                <w:sz w:val="24"/>
                <w:lang w:val="en-US" w:eastAsia="zh-CN"/>
              </w:rPr>
            </w:pPr>
            <w:r>
              <w:rPr>
                <w:rFonts w:hint="eastAsia"/>
                <w:sz w:val="24"/>
                <w:lang w:val="en-US" w:eastAsia="zh-CN"/>
              </w:rPr>
              <w:t>1</w:t>
            </w:r>
          </w:p>
        </w:tc>
        <w:tc>
          <w:tcPr>
            <w:tcW w:w="1119" w:type="dxa"/>
          </w:tcPr>
          <w:p w14:paraId="307C71FA">
            <w:pPr>
              <w:pStyle w:val="8"/>
              <w:spacing w:line="364" w:lineRule="auto"/>
              <w:ind w:left="108" w:right="96"/>
              <w:rPr>
                <w:rFonts w:hint="default" w:eastAsia="宋体"/>
                <w:spacing w:val="-29"/>
                <w:sz w:val="24"/>
                <w:lang w:val="en-US" w:eastAsia="zh-CN"/>
              </w:rPr>
            </w:pPr>
            <w:r>
              <w:rPr>
                <w:rFonts w:hint="eastAsia"/>
                <w:spacing w:val="-29"/>
                <w:sz w:val="24"/>
                <w:lang w:val="en-US" w:eastAsia="zh-CN"/>
              </w:rPr>
              <w:t>乐龙仿真平台升级</w:t>
            </w:r>
          </w:p>
        </w:tc>
        <w:tc>
          <w:tcPr>
            <w:tcW w:w="5436" w:type="dxa"/>
          </w:tcPr>
          <w:p w14:paraId="39C441CA">
            <w:pPr>
              <w:pStyle w:val="8"/>
              <w:numPr>
                <w:ilvl w:val="0"/>
                <w:numId w:val="1"/>
              </w:numPr>
              <w:spacing w:before="193"/>
              <w:ind w:left="107"/>
              <w:rPr>
                <w:rFonts w:hint="eastAsia"/>
                <w:sz w:val="24"/>
                <w:lang w:val="en-US" w:eastAsia="zh-CN"/>
              </w:rPr>
            </w:pPr>
            <w:r>
              <w:rPr>
                <w:rFonts w:hint="eastAsia"/>
                <w:sz w:val="24"/>
                <w:lang w:val="en-US" w:eastAsia="zh-CN"/>
              </w:rPr>
              <w:t>乐龙4.5版本升级到乐龙4.8版本，满足网络版200点。</w:t>
            </w:r>
          </w:p>
          <w:p w14:paraId="6F687813">
            <w:pPr>
              <w:pStyle w:val="8"/>
              <w:numPr>
                <w:ilvl w:val="0"/>
                <w:numId w:val="1"/>
              </w:numPr>
              <w:spacing w:before="193"/>
              <w:ind w:left="107"/>
              <w:rPr>
                <w:rFonts w:hint="eastAsia"/>
                <w:sz w:val="24"/>
                <w:lang w:val="en-US" w:eastAsia="zh-CN"/>
              </w:rPr>
            </w:pPr>
            <w:r>
              <w:rPr>
                <w:rFonts w:hint="eastAsia"/>
                <w:sz w:val="24"/>
                <w:lang w:val="en-US" w:eastAsia="zh-CN"/>
              </w:rPr>
              <w:t>全中文界面，二级菜单也是中文界面。</w:t>
            </w:r>
          </w:p>
          <w:p w14:paraId="19D773C1">
            <w:pPr>
              <w:pStyle w:val="8"/>
              <w:numPr>
                <w:ilvl w:val="0"/>
                <w:numId w:val="1"/>
              </w:numPr>
              <w:spacing w:before="193"/>
              <w:ind w:left="107"/>
              <w:rPr>
                <w:rFonts w:hint="default"/>
                <w:sz w:val="24"/>
                <w:lang w:val="en-US" w:eastAsia="zh-CN"/>
              </w:rPr>
            </w:pPr>
            <w:r>
              <w:rPr>
                <w:rFonts w:hint="eastAsia" w:hAnsi="宋体"/>
                <w:b/>
                <w:szCs w:val="21"/>
              </w:rPr>
              <w:sym w:font="Wingdings" w:char="F0AB"/>
            </w:r>
            <w:r>
              <w:rPr>
                <w:rFonts w:hint="eastAsia"/>
                <w:b/>
              </w:rPr>
              <w:t>本系统能够随时在3D环境中显示作业员或叉车的历史行驶路径、行驶方向及滞留时间信息，能够随时获取作业员及叉车移动距离统计数据，可用于物流路径分析及优化。</w:t>
            </w:r>
          </w:p>
          <w:p w14:paraId="3A3CF6B1">
            <w:pPr>
              <w:pStyle w:val="8"/>
              <w:numPr>
                <w:ilvl w:val="0"/>
                <w:numId w:val="1"/>
              </w:numPr>
              <w:spacing w:before="193"/>
              <w:ind w:left="107"/>
              <w:rPr>
                <w:rFonts w:hint="default"/>
                <w:sz w:val="24"/>
                <w:lang w:val="en-US" w:eastAsia="zh-CN"/>
              </w:rPr>
            </w:pPr>
            <w:r>
              <w:rPr>
                <w:rFonts w:hint="eastAsia" w:hAnsi="宋体"/>
                <w:b/>
                <w:szCs w:val="21"/>
              </w:rPr>
              <w:sym w:font="Wingdings" w:char="F0AB"/>
            </w:r>
            <w:r>
              <w:rPr>
                <w:rFonts w:hint="eastAsia" w:hAnsi="宋体"/>
                <w:b/>
                <w:szCs w:val="21"/>
              </w:rPr>
              <w:t>本系统支持快速订单编辑功能，能够快速定义商品和初始库存数据。用户直接通过菜单项批量定义商品信息或自动生成初始库存，免去繁琐的订单数据录入工作。</w:t>
            </w:r>
          </w:p>
          <w:p w14:paraId="625607B3">
            <w:pPr>
              <w:pStyle w:val="8"/>
              <w:numPr>
                <w:ilvl w:val="0"/>
                <w:numId w:val="1"/>
              </w:numPr>
              <w:spacing w:before="193"/>
              <w:ind w:left="107"/>
              <w:rPr>
                <w:rFonts w:hint="default"/>
                <w:sz w:val="24"/>
                <w:lang w:val="en-US" w:eastAsia="zh-CN"/>
              </w:rPr>
            </w:pPr>
            <w:r>
              <w:rPr>
                <w:rFonts w:hint="eastAsia" w:ascii="宋体" w:hAnsi="宋体"/>
              </w:rPr>
              <w:t>提供传感器模块，</w:t>
            </w:r>
            <w:r>
              <w:rPr>
                <w:rFonts w:hint="eastAsia" w:ascii="宋体" w:hAnsi="宋体"/>
                <w:szCs w:val="21"/>
              </w:rPr>
              <w:t>可以检测货物的状态。如果当传感器被通过的货物等所激发进入有感（即传感器感知到有货物等）状态时需要通知某个作业管理器，则通过此项与那个作业管理器相连接。如果当传感器的有感（即传感器感知到有货物等）状态结束时需要某个通知作业管理器，则通过此项与那个作业管理器相连接。</w:t>
            </w:r>
          </w:p>
          <w:p w14:paraId="73E80AA9">
            <w:pPr>
              <w:pStyle w:val="8"/>
              <w:numPr>
                <w:ilvl w:val="0"/>
                <w:numId w:val="1"/>
              </w:numPr>
              <w:spacing w:before="193"/>
              <w:ind w:left="107"/>
              <w:rPr>
                <w:rFonts w:hint="default"/>
                <w:sz w:val="24"/>
                <w:lang w:val="en-US" w:eastAsia="zh-CN"/>
              </w:rPr>
            </w:pPr>
            <w:r>
              <w:rPr>
                <w:rFonts w:hint="eastAsia" w:hAnsi="宋体"/>
                <w:b/>
                <w:szCs w:val="21"/>
              </w:rPr>
              <w:sym w:font="Wingdings" w:char="F0AB"/>
            </w:r>
            <w:r>
              <w:rPr>
                <w:rFonts w:hint="eastAsia" w:hAnsi="宋体"/>
                <w:b/>
                <w:szCs w:val="21"/>
              </w:rPr>
              <w:t>提供作业管理器导入人工智能算法，实现作业人员最短路径自动判断，作业任务团队协作，作业优先顺序自动判断等等基本功能。</w:t>
            </w:r>
            <w:r>
              <w:rPr>
                <w:rFonts w:hint="eastAsia"/>
                <w:b/>
                <w:szCs w:val="21"/>
                <w:lang w:val="en-US" w:eastAsia="zh-CN"/>
              </w:rPr>
              <w:t>可提现实与人工智能大模型互动功能。</w:t>
            </w:r>
          </w:p>
          <w:p w14:paraId="275C0E58">
            <w:pPr>
              <w:pStyle w:val="8"/>
              <w:numPr>
                <w:ilvl w:val="0"/>
                <w:numId w:val="1"/>
              </w:numPr>
              <w:spacing w:before="193"/>
              <w:ind w:left="107"/>
              <w:rPr>
                <w:rFonts w:hint="default" w:hAnsi="宋体"/>
                <w:b/>
                <w:szCs w:val="21"/>
                <w:lang w:val="en-US" w:eastAsia="zh-CN"/>
              </w:rPr>
            </w:pPr>
            <w:r>
              <w:rPr>
                <w:rFonts w:hint="eastAsia" w:hAnsi="宋体"/>
                <w:b/>
                <w:szCs w:val="21"/>
              </w:rPr>
              <w:sym w:font="Wingdings" w:char="F0AB"/>
            </w:r>
            <w:r>
              <w:rPr>
                <w:rFonts w:hint="eastAsia" w:hAnsi="宋体"/>
                <w:b/>
                <w:szCs w:val="21"/>
              </w:rPr>
              <w:t>该仿真系统依托人工智能数据分析引擎，具备丰富的智能分析与优化能力，需现场完整演示多项 AI 赋能的数据研判功能：作业人员与智能设备时间效率智能研判、人岗及设备产能 AI 量化分析、物流 ABC 活动成本智能拆解核算、作业人员及叉车移动距离智能统计、叉车作业路径 AI 可视化推演、堆垛机运行轨迹与移动距离智能测算、仓储货位利用率智能评估等。系统借助AI 算法建模、智能数据挖掘与多维运算分析，深度挖掘物流运行核心数据价值，精准校验仿真模型的合理性与科学性，智能识别流程短板与资源瓶颈，为仿真模型迭代优化、仓储作业流程升级及资源配置改良提供智能化依据与精准改进方向。</w:t>
            </w:r>
          </w:p>
          <w:p w14:paraId="0BDEE39A">
            <w:pPr>
              <w:pStyle w:val="8"/>
              <w:numPr>
                <w:ilvl w:val="0"/>
                <w:numId w:val="1"/>
              </w:numPr>
              <w:spacing w:before="193"/>
              <w:ind w:left="107"/>
              <w:rPr>
                <w:rFonts w:hint="default"/>
                <w:sz w:val="24"/>
                <w:lang w:val="en-US" w:eastAsia="zh-CN"/>
              </w:rPr>
            </w:pPr>
            <w:r>
              <w:rPr>
                <w:rFonts w:hint="eastAsia" w:hAnsi="宋体"/>
                <w:b/>
                <w:szCs w:val="21"/>
                <w:lang w:val="en-US" w:eastAsia="zh-CN"/>
              </w:rPr>
              <w:t>服务器</w:t>
            </w:r>
            <w:r>
              <w:rPr>
                <w:rFonts w:hint="eastAsia"/>
                <w:sz w:val="24"/>
                <w:lang w:val="en-US" w:eastAsia="zh-CN"/>
              </w:rPr>
              <w:t>和学生机操作系统安装能够实现32位和64位完全兼容。</w:t>
            </w:r>
          </w:p>
          <w:p w14:paraId="4F763476">
            <w:pPr>
              <w:pStyle w:val="8"/>
              <w:widowControl w:val="0"/>
              <w:numPr>
                <w:numId w:val="0"/>
              </w:numPr>
              <w:autoSpaceDE w:val="0"/>
              <w:autoSpaceDN w:val="0"/>
              <w:spacing w:before="193" w:after="0" w:line="240" w:lineRule="auto"/>
              <w:ind w:right="0" w:rightChars="0"/>
              <w:jc w:val="left"/>
              <w:rPr>
                <w:rFonts w:hint="default"/>
                <w:sz w:val="24"/>
                <w:lang w:val="en-US" w:eastAsia="zh-CN"/>
              </w:rPr>
            </w:pPr>
            <w:bookmarkStart w:id="0" w:name="_GoBack"/>
            <w:bookmarkEnd w:id="0"/>
          </w:p>
          <w:p w14:paraId="0279F4EE">
            <w:pPr>
              <w:pStyle w:val="8"/>
              <w:numPr>
                <w:ilvl w:val="0"/>
                <w:numId w:val="1"/>
              </w:numPr>
              <w:spacing w:before="193"/>
              <w:ind w:left="107"/>
              <w:rPr>
                <w:rFonts w:hint="default"/>
                <w:sz w:val="24"/>
                <w:lang w:val="en-US" w:eastAsia="zh-CN"/>
              </w:rPr>
            </w:pPr>
            <w:r>
              <w:rPr>
                <w:rFonts w:hint="eastAsia" w:hAnsi="宋体"/>
                <w:b/>
                <w:szCs w:val="21"/>
              </w:rPr>
              <w:sym w:font="Wingdings" w:char="F0AB"/>
            </w:r>
            <w:r>
              <w:rPr>
                <w:rFonts w:hint="eastAsia" w:hAnsi="宋体"/>
                <w:b/>
                <w:szCs w:val="21"/>
              </w:rPr>
              <w:t>系统搭载订单管理模块，依托企业真实业务订单数据结合人工智能算法驱动仿真模型智能运行。现场模型演示可接入多类标准化底层数据，涵盖《商品管理数据》《货架初始库存数据》《立体库初始库存数据》、进货数据、《货架出库数据》《自动仓库出库数据》《自动仓库出库拣选数据》《卸货平台拣选数据》《普通仓库补充数据》等全维度业务台账。基于AI 数据解析与智能推演能力，以真实、完整的业务数据作为仿真核心驱动源，有效保障仿真场景还原度与模拟运算精度，是人工智能赋能仓储流程仿真、运营策略优化与智能决策分析的核心基础，对提升仿真结果的参考价值与落地实践意义至关重要。</w:t>
            </w:r>
          </w:p>
        </w:tc>
        <w:tc>
          <w:tcPr>
            <w:tcW w:w="456" w:type="dxa"/>
          </w:tcPr>
          <w:p w14:paraId="275E72E0">
            <w:pPr>
              <w:pStyle w:val="8"/>
              <w:spacing w:before="193"/>
              <w:jc w:val="center"/>
              <w:rPr>
                <w:rFonts w:hint="eastAsia" w:eastAsia="宋体"/>
                <w:sz w:val="24"/>
                <w:lang w:val="en-US" w:eastAsia="zh-CN"/>
              </w:rPr>
            </w:pPr>
            <w:r>
              <w:rPr>
                <w:rFonts w:hint="eastAsia"/>
                <w:sz w:val="24"/>
                <w:lang w:val="en-US" w:eastAsia="zh-CN"/>
              </w:rPr>
              <w:t>套</w:t>
            </w:r>
          </w:p>
        </w:tc>
        <w:tc>
          <w:tcPr>
            <w:tcW w:w="750" w:type="dxa"/>
          </w:tcPr>
          <w:p w14:paraId="0BBEB921">
            <w:pPr>
              <w:pStyle w:val="8"/>
              <w:spacing w:before="193"/>
              <w:jc w:val="center"/>
              <w:rPr>
                <w:rFonts w:hint="eastAsia" w:eastAsia="宋体"/>
                <w:sz w:val="24"/>
                <w:lang w:val="en-US" w:eastAsia="zh-CN"/>
              </w:rPr>
            </w:pPr>
            <w:r>
              <w:rPr>
                <w:rFonts w:hint="eastAsia"/>
                <w:sz w:val="24"/>
                <w:lang w:val="en-US" w:eastAsia="zh-CN"/>
              </w:rPr>
              <w:t>1</w:t>
            </w:r>
          </w:p>
        </w:tc>
        <w:tc>
          <w:tcPr>
            <w:tcW w:w="1123" w:type="dxa"/>
          </w:tcPr>
          <w:p w14:paraId="59896892">
            <w:pPr>
              <w:pStyle w:val="8"/>
              <w:spacing w:before="161"/>
              <w:ind w:left="106"/>
              <w:rPr>
                <w:rFonts w:hint="default" w:eastAsia="宋体"/>
                <w:sz w:val="24"/>
                <w:lang w:val="en-US" w:eastAsia="zh-CN"/>
              </w:rPr>
            </w:pPr>
          </w:p>
        </w:tc>
        <w:tc>
          <w:tcPr>
            <w:tcW w:w="1125" w:type="dxa"/>
          </w:tcPr>
          <w:p w14:paraId="72ADB12E">
            <w:pPr>
              <w:pStyle w:val="8"/>
              <w:spacing w:before="161"/>
              <w:ind w:left="106"/>
              <w:rPr>
                <w:rFonts w:hint="default" w:eastAsia="宋体"/>
                <w:sz w:val="24"/>
                <w:lang w:val="en-US" w:eastAsia="zh-CN"/>
              </w:rPr>
            </w:pPr>
          </w:p>
        </w:tc>
      </w:tr>
    </w:tbl>
    <w:p w14:paraId="42CE8EF4"/>
    <w:sectPr>
      <w:pgSz w:w="11910" w:h="16840"/>
      <w:pgMar w:top="1200" w:right="480" w:bottom="817" w:left="4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2F142"/>
    <w:multiLevelType w:val="singleLevel"/>
    <w:tmpl w:val="DE32F14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compatSetting w:name="compatibilityMode" w:uri="http://schemas.microsoft.com/office/word" w:val="12"/>
  </w:compat>
  <w:rsids>
    <w:rsidRoot w:val="00000000"/>
    <w:rsid w:val="0C17695A"/>
    <w:rsid w:val="176E4988"/>
    <w:rsid w:val="288E607E"/>
    <w:rsid w:val="2D493388"/>
    <w:rsid w:val="42A044FA"/>
    <w:rsid w:val="5FC46FD4"/>
    <w:rsid w:val="62CB17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6"/>
      <w:szCs w:val="36"/>
    </w:rPr>
  </w:style>
  <w:style w:type="character" w:styleId="5">
    <w:name w:val="Strong"/>
    <w:basedOn w:val="4"/>
    <w:qFormat/>
    <w:uiPriority w:val="0"/>
    <w:rPr>
      <w:b/>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1034</Words>
  <Characters>1050</Characters>
  <TotalTime>9</TotalTime>
  <ScaleCrop>false</ScaleCrop>
  <LinksUpToDate>false</LinksUpToDate>
  <CharactersWithSpaces>1060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2021-09-22T04:40:00Z</dcterms:created>
  <dc:creator>蔡 无双</dc:creator>
  <cp:lastModifiedBy>强</cp:lastModifiedBy>
  <dcterms:modified xsi:type="dcterms:W3CDTF">2026-05-06T06:44:13Z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2020-07-16T00:00:00Z</vt:filetime>
  </property>
  <property fmtid="{D5CDD505-2E9C-101B-9397-08002B2CF9AE}" pid="3" name="Creator">
    <vt:lpwstr>WPS 文字</vt:lpwstr>
  </property>
  <property fmtid="{D5CDD505-2E9C-101B-9397-08002B2CF9AE}" pid="4" name="LastSaved">
    <vt:filetime>2021-09-22T00:00:00Z</vt:filetime>
  </property>
  <property fmtid="{D5CDD505-2E9C-101B-9397-08002B2CF9AE}" pid="5" name="KSOProductBuildVer">
    <vt:lpwstr>2052-12.1.0.25865</vt:lpwstr>
  </property>
  <property fmtid="{D5CDD505-2E9C-101B-9397-08002B2CF9AE}" pid="6" name="ICV">
    <vt:lpwstr>CF5891F6B277405DB62A712BFDEE78E0</vt:lpwstr>
  </property>
  <property fmtid="{D5CDD505-2E9C-101B-9397-08002B2CF9AE}" pid="7" name="KSOTemplateDocerSaveRecord">
    <vt:lpwstr>eyJoZGlkIjoiZGFmYTFmZjRmMWNjZWI3NWE4ZWUwOWQwMjBhNjA1YzciLCJ1c2VySWQiOiIxNTY5NTAzNDU2In0=</vt:lpwstr>
  </property>
</Properties>
</file>