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auto"/>
          <w:sz w:val="32"/>
        </w:rPr>
      </w:pPr>
      <w:r>
        <w:rPr>
          <w:rFonts w:hint="eastAsia"/>
          <w:b/>
          <w:color w:val="auto"/>
          <w:sz w:val="32"/>
        </w:rPr>
        <w:t>珠海市理工职业技术学校斗门校区农村电商人才培养示范基地项目（</w:t>
      </w:r>
      <w:r>
        <w:rPr>
          <w:rFonts w:hint="eastAsia"/>
          <w:b/>
          <w:color w:val="auto"/>
          <w:sz w:val="32"/>
          <w:lang w:val="en-US" w:eastAsia="zh-CN"/>
        </w:rPr>
        <w:t>音视频设备采购</w:t>
      </w:r>
      <w:r>
        <w:rPr>
          <w:rFonts w:hint="eastAsia"/>
          <w:b/>
          <w:color w:val="auto"/>
          <w:sz w:val="32"/>
        </w:rPr>
        <w:t>）</w:t>
      </w:r>
    </w:p>
    <w:tbl>
      <w:tblPr>
        <w:tblStyle w:val="8"/>
        <w:tblW w:w="15560" w:type="dxa"/>
        <w:tblInd w:w="-3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260"/>
        <w:gridCol w:w="8385"/>
        <w:gridCol w:w="750"/>
        <w:gridCol w:w="720"/>
        <w:gridCol w:w="915"/>
        <w:gridCol w:w="990"/>
        <w:gridCol w:w="1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735"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序号</w:t>
            </w:r>
          </w:p>
        </w:tc>
        <w:tc>
          <w:tcPr>
            <w:tcW w:w="1260"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项目名称</w:t>
            </w:r>
          </w:p>
        </w:tc>
        <w:tc>
          <w:tcPr>
            <w:tcW w:w="8385"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详细参数</w:t>
            </w:r>
          </w:p>
        </w:tc>
        <w:tc>
          <w:tcPr>
            <w:tcW w:w="750"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数量</w:t>
            </w:r>
          </w:p>
        </w:tc>
        <w:tc>
          <w:tcPr>
            <w:tcW w:w="720"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单位</w:t>
            </w:r>
          </w:p>
        </w:tc>
        <w:tc>
          <w:tcPr>
            <w:tcW w:w="915"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单价</w:t>
            </w:r>
          </w:p>
        </w:tc>
        <w:tc>
          <w:tcPr>
            <w:tcW w:w="990"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合计</w:t>
            </w:r>
          </w:p>
        </w:tc>
        <w:tc>
          <w:tcPr>
            <w:tcW w:w="1805" w:type="dxa"/>
            <w:tcBorders>
              <w:bottom w:val="single" w:color="auto" w:sz="4" w:space="0"/>
            </w:tcBorders>
            <w:shd w:val="clear" w:color="auto" w:fill="BEBEBE"/>
            <w:noWrap w:val="0"/>
            <w:vAlign w:val="center"/>
          </w:tcPr>
          <w:p>
            <w:pPr>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60" w:type="dxa"/>
            <w:gridSpan w:val="8"/>
            <w:shd w:val="clear" w:color="auto" w:fill="FFFFFF"/>
            <w:noWrap w:val="0"/>
            <w:vAlign w:val="center"/>
          </w:tcPr>
          <w:p>
            <w:pPr>
              <w:jc w:val="left"/>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一、音视频设备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735"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1</w:t>
            </w:r>
          </w:p>
        </w:tc>
        <w:tc>
          <w:tcPr>
            <w:tcW w:w="1260" w:type="dxa"/>
            <w:shd w:val="clear" w:color="auto" w:fill="FFFFFF"/>
            <w:noWrap w:val="0"/>
            <w:vAlign w:val="center"/>
          </w:tcPr>
          <w:p>
            <w:pPr>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交换机</w:t>
            </w:r>
          </w:p>
        </w:tc>
        <w:tc>
          <w:tcPr>
            <w:tcW w:w="8385" w:type="dxa"/>
            <w:shd w:val="clear" w:color="auto" w:fill="FFFFFF"/>
            <w:noWrap w:val="0"/>
            <w:vAlign w:val="center"/>
          </w:tcPr>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1、千兆电口≥24个、1G/2.5G光口≥4个、1个Console口，1个Manage口</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2、交换性能≥336 Gbps，包转发率≥108 Mpps</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3、工作温度：-5°C～45°C，存储温度：-20°C～70°C</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4、支持胖瘦一体化，支持智能交换机和普通交换机两种工作模式，可以根据不同的组网需要，随时灵活的进行切换</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5、可通过配置静态IP地址，DHCP Option43方式，DNS域名等方式发现控制器平台。6、支持通过控制器平台一键替换“按钮”即可完成故障设备替换</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7、支持STP、RSTP、MSTP协议，支持IGMP v1/v2/v3 Snooping</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8、支持IEEE 802.3az 标准的 EEE节能技术：当EEE使能时，从而大幅度的减小端口在该阶段的功耗，达到了节能的目的。</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9、支持MAC地址自动学习</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10、 为提高设备可靠性，支持M-LAG技术；</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11、 支持通过控制器平台查看交换机端口负载情况；</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12、支持控制器统一管理，调试，运维</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13、为禁止非法终端(例如私接路由器)接入，需支持终端类型库，能自动识别PC电脑终端、路由器、监控摄像头终端设备等；</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14、支持防网关ARP欺骗，管理员分级管理，支持防止DOS、ARP攻击功能</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15、支持通过APP进行远程管理，并且可以修改交换机网络配置；</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16、支持通过在控制器平台的Web页面对交换机进行可视化管理查看，包括交换机的端口状态及配置、vlan信息；</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17、支持通过控制器平台对交换机端口进行开启与关闭；</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18、支持安全状态页面中显示安全事件；</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19、支持交换机端口终端类型变更后，通过APP、短信告警；</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20、支持通过控制器平台查看交换机面板端口工作状态，通过端口颜色显示状态即可判断端口是否在线工作；</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21、为实现远程运维，支持通过手机APP对交换机进行管理。</w:t>
            </w:r>
          </w:p>
        </w:tc>
        <w:tc>
          <w:tcPr>
            <w:tcW w:w="750"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1</w:t>
            </w:r>
          </w:p>
        </w:tc>
        <w:tc>
          <w:tcPr>
            <w:tcW w:w="720" w:type="dxa"/>
            <w:shd w:val="clear" w:color="auto" w:fill="FFFFFF"/>
            <w:noWrap w:val="0"/>
            <w:vAlign w:val="center"/>
          </w:tcPr>
          <w:p>
            <w:pPr>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台</w:t>
            </w:r>
          </w:p>
        </w:tc>
        <w:tc>
          <w:tcPr>
            <w:tcW w:w="915"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990"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1805" w:type="dxa"/>
            <w:shd w:val="clear" w:color="auto" w:fill="FFFFFF"/>
            <w:noWrap w:val="0"/>
            <w:vAlign w:val="center"/>
          </w:tcPr>
          <w:p>
            <w:pPr>
              <w:rPr>
                <w:rFonts w:ascii="宋体" w:hAnsi="宋体" w:eastAsia="宋体"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735" w:type="dxa"/>
            <w:shd w:val="clear" w:color="auto" w:fill="FFFFFF"/>
            <w:noWrap w:val="0"/>
            <w:vAlign w:val="center"/>
          </w:tcPr>
          <w:p>
            <w:pPr>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1260" w:type="dxa"/>
            <w:shd w:val="clear" w:color="auto" w:fill="FFFFFF"/>
            <w:noWrap w:val="0"/>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图形工作站</w:t>
            </w:r>
          </w:p>
        </w:tc>
        <w:tc>
          <w:tcPr>
            <w:tcW w:w="8385" w:type="dxa"/>
            <w:shd w:val="clear" w:color="auto" w:fill="FFFFFF"/>
            <w:noWrap w:val="0"/>
            <w:vAlign w:val="center"/>
          </w:tcPr>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1、品牌：知名品牌图形工作站。</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2、处理器：≥英特尔 Core i7-11700 2.5G 8核16线程。</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3、芯片组：≥英特尔Intel Q470及以上高端芯片组。</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4、内存：≥2*8GB DDR4 3200内存；4根DIMM插槽, 支持高达256 GB的ECC/ECC DDR4内存。</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5、硬盘：≥512G M.2 2280 SSD固态硬盘。</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6、显卡：高性能集成显卡。</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7、接口：≥8个USB3.2接口(前置4个USB 3.2，后置4个USB3.2)，支持USB屏蔽技术，仅识别USB键盘、鼠标，无法识别USB读取设备防止数据泄露、1组PS/2接口、1个串口、1个有线千兆RJ45接口。</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8、扩展槽：≥2个PCI-E*16、1个PCI-E*1、4个SATA、2个M.2槽。</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9、机箱、电源：标准MATX立式机箱，机箱≥17L，支持免工具拆卸，顶置提手，顶置电源开关键方便使用、内置电源≥500W。</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10、显示器：同品牌23.8寸IPS低蓝光显示器，分辨率≥1920x1080，双高清输入接口。</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二、 软件要求</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配置云桌面管理平台</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1.平台软件需要安装在物理服务器，授权激活后无限期使用，无需部署其他组件，运维的方便简单。</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2.支持（BS架构）多重管理结构，使用浏览器远程访问管理主机和终端机，服务器终端机均有独立配置界面。</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3.支持批量管理设置终端机计算机名、IP地址、分辨率等配置信息</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4.可以支持多种不同硬件配置，不同代的CPU，使用标准镜像。</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5.支持离线脱网运行，服务端断开影响正常授课。</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6.支持使用U盘/移动硬盘在脱机的情况下（完全没有网络）脱机恢复桌面。</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7.支持管理维护双硬盘，支持NVME，M.2新型高速固态硬盘，同时兼容新老机型部署。</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8.支持边用边载的背景载入功能，可在正常使用的同时完成缓存载入，同一网络机器可互相分享数据，大幅减少网络传输中的重复数据，可以大幅提高传输效率。</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9.支持自动更新，客户端上传更新完成后管理端可以自动分发给其他客户端，不影响正常使用。</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10.支持多种系统的镜像切换，提供给不同桌面环境使用</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11.支持收集终端硬件配置信息，硬件变更信息等</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12.支持显示终端镜像模板软件列表，软件使用情况。</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13.支持U盘、网络等多种部署方式，适应各种网络环境减少对网络环境的调整。</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14.支持.vhd虚拟盘格式，保证系统兼容性。</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15.支持打印机模板管理功能。</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16.提供云桌面管理平台数据展示看板，提供各种硬件、软件、管理等数据信息可视化界面。</w:t>
            </w:r>
          </w:p>
        </w:tc>
        <w:tc>
          <w:tcPr>
            <w:tcW w:w="750" w:type="dxa"/>
            <w:shd w:val="clear" w:color="auto" w:fill="FFFFFF"/>
            <w:noWrap w:val="0"/>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8</w:t>
            </w:r>
          </w:p>
        </w:tc>
        <w:tc>
          <w:tcPr>
            <w:tcW w:w="720" w:type="dxa"/>
            <w:shd w:val="clear" w:color="auto" w:fill="FFFFFF"/>
            <w:noWrap w:val="0"/>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套</w:t>
            </w:r>
          </w:p>
        </w:tc>
        <w:tc>
          <w:tcPr>
            <w:tcW w:w="915" w:type="dxa"/>
            <w:shd w:val="clear" w:color="auto" w:fill="FFFFFF"/>
            <w:noWrap w:val="0"/>
            <w:vAlign w:val="center"/>
          </w:tcPr>
          <w:p>
            <w:pPr>
              <w:jc w:val="center"/>
              <w:rPr>
                <w:rFonts w:hint="eastAsia" w:ascii="宋体" w:hAnsi="宋体" w:eastAsia="宋体" w:cs="宋体"/>
                <w:color w:val="auto"/>
                <w:kern w:val="0"/>
                <w:sz w:val="18"/>
                <w:szCs w:val="18"/>
                <w:lang w:val="en-US" w:eastAsia="zh-CN" w:bidi="ar-SA"/>
              </w:rPr>
            </w:pPr>
          </w:p>
        </w:tc>
        <w:tc>
          <w:tcPr>
            <w:tcW w:w="990" w:type="dxa"/>
            <w:shd w:val="clear" w:color="auto" w:fill="FFFFFF"/>
            <w:noWrap w:val="0"/>
            <w:vAlign w:val="center"/>
          </w:tcPr>
          <w:p>
            <w:pPr>
              <w:jc w:val="center"/>
              <w:rPr>
                <w:rFonts w:hint="eastAsia" w:ascii="宋体" w:hAnsi="宋体" w:eastAsia="宋体" w:cs="宋体"/>
                <w:color w:val="auto"/>
                <w:kern w:val="0"/>
                <w:sz w:val="18"/>
                <w:szCs w:val="18"/>
                <w:lang w:val="en-US" w:eastAsia="zh-CN" w:bidi="ar-SA"/>
              </w:rPr>
            </w:pPr>
          </w:p>
        </w:tc>
        <w:tc>
          <w:tcPr>
            <w:tcW w:w="1805" w:type="dxa"/>
            <w:shd w:val="clear" w:color="auto" w:fill="FFFFFF"/>
            <w:noWrap w:val="0"/>
            <w:vAlign w:val="center"/>
          </w:tcPr>
          <w:p>
            <w:pPr>
              <w:rPr>
                <w:rFonts w:ascii="宋体" w:hAnsi="宋体" w:eastAsia="宋体"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735"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3</w:t>
            </w:r>
          </w:p>
        </w:tc>
        <w:tc>
          <w:tcPr>
            <w:tcW w:w="126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监控</w:t>
            </w:r>
          </w:p>
        </w:tc>
        <w:tc>
          <w:tcPr>
            <w:tcW w:w="8385" w:type="dxa"/>
            <w:shd w:val="clear" w:color="auto" w:fill="FFFFFF"/>
            <w:noWrap w:val="0"/>
            <w:vAlign w:val="center"/>
          </w:tcPr>
          <w:p>
            <w:pPr>
              <w:rPr>
                <w:rFonts w:hint="default"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智能摄像机、360度、全景高清、手机可远程监控、家用网络监控头，包安装</w:t>
            </w:r>
          </w:p>
        </w:tc>
        <w:tc>
          <w:tcPr>
            <w:tcW w:w="75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3</w:t>
            </w:r>
          </w:p>
        </w:tc>
        <w:tc>
          <w:tcPr>
            <w:tcW w:w="72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个</w:t>
            </w:r>
          </w:p>
        </w:tc>
        <w:tc>
          <w:tcPr>
            <w:tcW w:w="915"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990"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1805" w:type="dxa"/>
            <w:shd w:val="clear" w:color="auto" w:fill="FFFFFF"/>
            <w:noWrap w:val="0"/>
            <w:vAlign w:val="center"/>
          </w:tcPr>
          <w:p>
            <w:pPr>
              <w:rPr>
                <w:rFonts w:ascii="宋体" w:hAnsi="宋体" w:eastAsia="宋体"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5"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4</w:t>
            </w:r>
          </w:p>
        </w:tc>
        <w:tc>
          <w:tcPr>
            <w:tcW w:w="126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话筒</w:t>
            </w:r>
          </w:p>
        </w:tc>
        <w:tc>
          <w:tcPr>
            <w:tcW w:w="8385" w:type="dxa"/>
            <w:shd w:val="clear" w:color="auto" w:fill="FFFFFF"/>
            <w:noWrap w:val="0"/>
            <w:vAlign w:val="center"/>
          </w:tcPr>
          <w:p>
            <w:pPr>
              <w:rPr>
                <w:rFonts w:hint="default"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无线麦克风会议专业舞台演出K歌主持一拖四话筒。要有1个无线手持麦克风，3个无线隐藏麦克风。</w:t>
            </w:r>
          </w:p>
          <w:p>
            <w:pPr>
              <w:rPr>
                <w:rFonts w:hint="eastAsia" w:ascii="宋体" w:hAnsi="宋体" w:eastAsia="宋体" w:cs="宋体"/>
                <w:b w:val="0"/>
                <w:bCs w:val="0"/>
                <w:color w:val="auto"/>
                <w:kern w:val="0"/>
                <w:sz w:val="18"/>
                <w:szCs w:val="18"/>
                <w:lang w:val="en-US" w:eastAsia="zh-CN" w:bidi="ar-SA"/>
              </w:rPr>
            </w:pPr>
          </w:p>
        </w:tc>
        <w:tc>
          <w:tcPr>
            <w:tcW w:w="75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72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台</w:t>
            </w:r>
          </w:p>
        </w:tc>
        <w:tc>
          <w:tcPr>
            <w:tcW w:w="915" w:type="dxa"/>
            <w:shd w:val="clear" w:color="auto" w:fill="FFFFFF"/>
            <w:noWrap w:val="0"/>
            <w:vAlign w:val="center"/>
          </w:tcPr>
          <w:p>
            <w:pPr>
              <w:jc w:val="center"/>
              <w:rPr>
                <w:rFonts w:hint="eastAsia" w:ascii="宋体" w:hAnsi="宋体" w:eastAsia="宋体" w:cs="宋体"/>
                <w:color w:val="auto"/>
                <w:kern w:val="0"/>
                <w:sz w:val="18"/>
                <w:szCs w:val="18"/>
                <w:lang w:eastAsia="zh-CN"/>
              </w:rPr>
            </w:pPr>
          </w:p>
        </w:tc>
        <w:tc>
          <w:tcPr>
            <w:tcW w:w="990" w:type="dxa"/>
            <w:shd w:val="clear" w:color="auto" w:fill="FFFFFF"/>
            <w:noWrap w:val="0"/>
            <w:vAlign w:val="center"/>
          </w:tcPr>
          <w:p>
            <w:pPr>
              <w:jc w:val="center"/>
              <w:rPr>
                <w:rFonts w:hint="eastAsia" w:ascii="宋体" w:hAnsi="宋体" w:eastAsia="宋体" w:cs="宋体"/>
                <w:color w:val="auto"/>
                <w:kern w:val="0"/>
                <w:sz w:val="18"/>
                <w:szCs w:val="18"/>
                <w:lang w:val="en-US" w:eastAsia="zh-CN"/>
              </w:rPr>
            </w:pPr>
          </w:p>
        </w:tc>
        <w:tc>
          <w:tcPr>
            <w:tcW w:w="1805" w:type="dxa"/>
            <w:shd w:val="clear" w:color="auto" w:fill="FFFFFF"/>
            <w:noWrap w:val="0"/>
            <w:vAlign w:val="center"/>
          </w:tcPr>
          <w:p>
            <w:pPr>
              <w:rPr>
                <w:rFonts w:ascii="宋体" w:hAnsi="宋体" w:eastAsia="宋体" w:cs="宋体"/>
                <w:color w:val="auto"/>
                <w:kern w:val="0"/>
                <w:sz w:val="18"/>
                <w:szCs w:val="18"/>
              </w:rPr>
            </w:pPr>
            <w:r>
              <w:rPr>
                <w:rFonts w:hint="eastAsia" w:ascii="宋体" w:hAnsi="宋体" w:eastAsia="宋体" w:cs="宋体"/>
                <w:color w:val="auto"/>
                <w:kern w:val="0"/>
                <w:sz w:val="18"/>
                <w:szCs w:val="18"/>
              </w:rPr>
              <w:drawing>
                <wp:inline distT="0" distB="0" distL="114300" distR="114300">
                  <wp:extent cx="661670" cy="615315"/>
                  <wp:effectExtent l="0" t="0" r="5080" b="13335"/>
                  <wp:docPr id="7" name="图片 2" descr="微信截图_20220401164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微信截图_20220401164231"/>
                          <pic:cNvPicPr>
                            <a:picLocks noChangeAspect="1"/>
                          </pic:cNvPicPr>
                        </pic:nvPicPr>
                        <pic:blipFill>
                          <a:blip r:embed="rId4"/>
                          <a:stretch>
                            <a:fillRect/>
                          </a:stretch>
                        </pic:blipFill>
                        <pic:spPr>
                          <a:xfrm>
                            <a:off x="0" y="0"/>
                            <a:ext cx="661670" cy="61531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5"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5</w:t>
            </w:r>
          </w:p>
        </w:tc>
        <w:tc>
          <w:tcPr>
            <w:tcW w:w="1260" w:type="dxa"/>
            <w:shd w:val="clear" w:color="auto" w:fill="FFFFFF"/>
            <w:noWrap w:val="0"/>
            <w:vAlign w:val="center"/>
          </w:tcPr>
          <w:p>
            <w:pPr>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音响</w:t>
            </w:r>
          </w:p>
        </w:tc>
        <w:tc>
          <w:tcPr>
            <w:tcW w:w="8385" w:type="dxa"/>
            <w:shd w:val="clear" w:color="auto" w:fill="FFFFFF"/>
            <w:noWrap w:val="0"/>
            <w:vAlign w:val="center"/>
          </w:tcPr>
          <w:p>
            <w:pPr>
              <w:rPr>
                <w:rFonts w:hint="default"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户外演出室内弹唱便携音箱手机蓝牙连接音响，黑色，2个大音响</w:t>
            </w:r>
          </w:p>
        </w:tc>
        <w:tc>
          <w:tcPr>
            <w:tcW w:w="75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72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套</w:t>
            </w:r>
          </w:p>
        </w:tc>
        <w:tc>
          <w:tcPr>
            <w:tcW w:w="915" w:type="dxa"/>
            <w:shd w:val="clear" w:color="auto" w:fill="FFFFFF"/>
            <w:noWrap w:val="0"/>
            <w:vAlign w:val="center"/>
          </w:tcPr>
          <w:p>
            <w:pPr>
              <w:jc w:val="center"/>
              <w:rPr>
                <w:rFonts w:ascii="宋体" w:hAnsi="宋体" w:eastAsia="宋体" w:cs="宋体"/>
                <w:color w:val="auto"/>
                <w:kern w:val="0"/>
                <w:sz w:val="18"/>
                <w:szCs w:val="18"/>
              </w:rPr>
            </w:pPr>
          </w:p>
        </w:tc>
        <w:tc>
          <w:tcPr>
            <w:tcW w:w="990" w:type="dxa"/>
            <w:shd w:val="clear" w:color="auto" w:fill="FFFFFF"/>
            <w:noWrap w:val="0"/>
            <w:vAlign w:val="center"/>
          </w:tcPr>
          <w:p>
            <w:pPr>
              <w:jc w:val="center"/>
              <w:rPr>
                <w:rFonts w:ascii="宋体" w:hAnsi="宋体" w:eastAsia="宋体" w:cs="宋体"/>
                <w:color w:val="auto"/>
                <w:kern w:val="0"/>
                <w:sz w:val="18"/>
                <w:szCs w:val="18"/>
              </w:rPr>
            </w:pPr>
          </w:p>
        </w:tc>
        <w:tc>
          <w:tcPr>
            <w:tcW w:w="1805" w:type="dxa"/>
            <w:shd w:val="clear" w:color="auto" w:fill="FFFFFF"/>
            <w:noWrap w:val="0"/>
            <w:vAlign w:val="center"/>
          </w:tcPr>
          <w:p>
            <w:pPr>
              <w:rPr>
                <w:rFonts w:ascii="宋体" w:hAnsi="宋体" w:eastAsia="宋体" w:cs="宋体"/>
                <w:color w:val="auto"/>
                <w:kern w:val="0"/>
                <w:sz w:val="18"/>
                <w:szCs w:val="18"/>
              </w:rPr>
            </w:pPr>
            <w:r>
              <w:rPr>
                <w:rFonts w:hint="eastAsia" w:ascii="宋体" w:hAnsi="宋体" w:eastAsia="宋体" w:cs="宋体"/>
                <w:color w:val="auto"/>
                <w:kern w:val="0"/>
                <w:sz w:val="18"/>
                <w:szCs w:val="18"/>
              </w:rPr>
              <w:drawing>
                <wp:inline distT="0" distB="0" distL="114300" distR="114300">
                  <wp:extent cx="662305" cy="662305"/>
                  <wp:effectExtent l="0" t="0" r="4445" b="4445"/>
                  <wp:docPr id="4" name="图片 3" descr="微信截图_2022040116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微信截图_20220401164512"/>
                          <pic:cNvPicPr>
                            <a:picLocks noChangeAspect="1"/>
                          </pic:cNvPicPr>
                        </pic:nvPicPr>
                        <pic:blipFill>
                          <a:blip r:embed="rId5"/>
                          <a:stretch>
                            <a:fillRect/>
                          </a:stretch>
                        </pic:blipFill>
                        <pic:spPr>
                          <a:xfrm>
                            <a:off x="0" y="0"/>
                            <a:ext cx="662305" cy="6623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5"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6</w:t>
            </w:r>
          </w:p>
        </w:tc>
        <w:tc>
          <w:tcPr>
            <w:tcW w:w="1260" w:type="dxa"/>
            <w:shd w:val="clear" w:color="auto" w:fill="FFFFFF"/>
            <w:noWrap w:val="0"/>
            <w:vAlign w:val="center"/>
          </w:tcPr>
          <w:p>
            <w:pPr>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路由器</w:t>
            </w:r>
          </w:p>
        </w:tc>
        <w:tc>
          <w:tcPr>
            <w:tcW w:w="8385" w:type="dxa"/>
            <w:shd w:val="clear" w:color="auto" w:fill="FFFFFF"/>
            <w:noWrap w:val="0"/>
            <w:vAlign w:val="center"/>
          </w:tcPr>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1、支持802.11ax 协议，兼容802.11a/b/g/n/ac协议，支持2.4G和5G同时工作，为保障无线网络体验，要求2.4G和5G射频最高支持802.11ax协议；</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2、整机采用三射频设计，2.4G最大传输速率≥570Mbps，5G最大传输速率≥2000Mbps，整机最大传输速率≥2.6Gbps；</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3、千兆以太网口≥1个；</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4、内置智能天线；</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5、支持802.3at标准的PoE供电和本地电源适配器供电两种方式；</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6、单射频接入人数≥512，整机最大接入人数≥1024；</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7、支持虚拟AP技术，单射频SSID数量≥16，整机≥32；</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8、支持Fat和Fit 两种工作模式，根据网络规划的需要，可以灵活地在Fat和Fit两种工作模式中切换，同时可以根据应用需求，选择工作模式；</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9、支持对无线网络提供的服务进行检测，包括网络接入、DHCP、网关、DNS、网络地址等阶段的时延和质量检测，并以时光轴的方式进行展示具体时间点的检测情况</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10、支持自定义配置网络质量指标阈值，包括网络地址、接入时间、DHCP请求时间、DNS解析平均时延、网关平均时延、网络丢包率等</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11、支持对无线网络环境指标进行检测，包括信道总利用率、Wi-Fi信道利用率、非Wi-Fi信道利用率、同频AP数量等，以方便对网络质量进行排查</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12、支持显示每个802.11干扰源的详细情况，包括BSSID、SSID、厂商、信号强度等信息，以方便对干扰源进行处理</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13、支持802.1x 认证、MAC 地址认证、PSK 认证、Portal认证等方式，支持针对外部人员的二维码扫码审核认证；</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14、支持WIPS/防钓鱼WIFI，要求采用独立射频（非用户连接射频）对非法接入点进行实时检测、告警及反制，过程中不影响用户正常网络接入；</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15、支持监控内部员工接入非信任无线网络的行为并产生告警日志，支持设置只针对内部员工进行反制，避免错误反制非内部员工引发不必要的纠纷</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16、无线AP支持联动安全策略，通过安全策略可以实现对疑似感染病毒或已感染病毒的无线客户端进行识别、监控与隔离等多种方式的处理</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17、支持对接移动OA平台进行用户认证，包括阿里钉钉、微信企业号、口袋助理等主流平台，实现同步组织架构实现不同部门人员分配不同的上网权限策略，同时可以直接通过APP或轻应用即可自助管理账号密码 ；</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18、为了保证网络的可扩展性，需要支持兼容其他品牌无线设备实现统一Portal/Web和802.1X认证，包括短信认证、二维码审核、802.1X、Web账号密码认证，兼容的厂商包括但不限于华三、华为、信锐、锐捷、思科、Aruba、Ruckus等。</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19、支持生物特征识别认证，包括人脸识别认证、指纹识别认证以进一步保证内部网络的接入安全。20、支持portal认证页面信息推送，可根据不同的用户属性推送不同认证页面；</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21、支持Portal认证页面自定义，包括页面展示信息、页面标题、文字描述、免责声明等信息，内置5种以上广告模板，支持实时预览模板效果，倒计时形式强制用户观看一定时间页面展示才允许认证上网；</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22、支持应用识别，能识别不低于4500种的网络应用，能识别邮件、游戏、P2P流媒体、WEB流媒体、金融交易、办公OA、移动终端应用等主流应用 ；</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23、支持上网行为审计，可审计用户访问的URL、网络应用类型、非加密的邮件正文及其附件内容、Web BBS发帖内容、微博内容、FTP上传和下载的文件名、TELNET执行的命令等 ；</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24、支持本地转发模式下的应用识别和行为审计，能够在本地转发模式下支持用户上网行为审计，并可与本地公安网监平台对接，将审计数据上传至公安的网监平台；</w:t>
            </w:r>
          </w:p>
        </w:tc>
        <w:tc>
          <w:tcPr>
            <w:tcW w:w="750"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1</w:t>
            </w:r>
          </w:p>
        </w:tc>
        <w:tc>
          <w:tcPr>
            <w:tcW w:w="72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个</w:t>
            </w:r>
          </w:p>
        </w:tc>
        <w:tc>
          <w:tcPr>
            <w:tcW w:w="915"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990"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1805" w:type="dxa"/>
            <w:shd w:val="clear" w:color="auto" w:fill="FFFFFF"/>
            <w:noWrap w:val="0"/>
            <w:vAlign w:val="center"/>
          </w:tcPr>
          <w:p>
            <w:pPr>
              <w:rPr>
                <w:rFonts w:ascii="宋体" w:hAnsi="宋体" w:eastAsia="宋体"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35" w:type="dxa"/>
            <w:shd w:val="clear" w:color="auto" w:fill="FFFFFF"/>
            <w:noWrap w:val="0"/>
            <w:vAlign w:val="center"/>
          </w:tcPr>
          <w:p>
            <w:pPr>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7</w:t>
            </w:r>
          </w:p>
        </w:tc>
        <w:tc>
          <w:tcPr>
            <w:tcW w:w="1260" w:type="dxa"/>
            <w:shd w:val="clear" w:color="auto" w:fill="FFFFFF"/>
            <w:noWrap w:val="0"/>
            <w:vAlign w:val="center"/>
          </w:tcPr>
          <w:p>
            <w:pPr>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机柜</w:t>
            </w:r>
          </w:p>
        </w:tc>
        <w:tc>
          <w:tcPr>
            <w:tcW w:w="8385" w:type="dxa"/>
            <w:shd w:val="clear" w:color="auto" w:fill="FFFFFF"/>
            <w:noWrap w:val="0"/>
            <w:vAlign w:val="center"/>
          </w:tcPr>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1.2米22U标准机柜，优质冷轧钢板，精工品质</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1、标准服务器机柜：19英寸国际标准，宽度600mm，深度不低于1000mm；</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2、材料及工艺：材料采用冷轧钢板,表面处理采用脱脂、酸洗磷化静电喷塑；</w:t>
            </w:r>
          </w:p>
          <w:p>
            <w:pP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3、门及门锁：网状前门，带锁；网状后门；全钢侧门,可快速装卸。</w:t>
            </w:r>
          </w:p>
        </w:tc>
        <w:tc>
          <w:tcPr>
            <w:tcW w:w="75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720" w:type="dxa"/>
            <w:shd w:val="clear" w:color="auto" w:fill="FFFFFF"/>
            <w:noWrap w:val="0"/>
            <w:vAlign w:val="center"/>
          </w:tcPr>
          <w:p>
            <w:pPr>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个</w:t>
            </w:r>
          </w:p>
        </w:tc>
        <w:tc>
          <w:tcPr>
            <w:tcW w:w="915"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990" w:type="dxa"/>
            <w:shd w:val="clear" w:color="auto" w:fill="FFFFFF"/>
            <w:noWrap w:val="0"/>
            <w:vAlign w:val="center"/>
          </w:tcPr>
          <w:p>
            <w:pPr>
              <w:jc w:val="center"/>
              <w:rPr>
                <w:rFonts w:hint="default" w:ascii="宋体" w:hAnsi="宋体" w:eastAsia="宋体" w:cs="宋体"/>
                <w:color w:val="auto"/>
                <w:kern w:val="0"/>
                <w:sz w:val="18"/>
                <w:szCs w:val="18"/>
                <w:lang w:val="en-US" w:eastAsia="zh-CN"/>
              </w:rPr>
            </w:pPr>
          </w:p>
        </w:tc>
        <w:tc>
          <w:tcPr>
            <w:tcW w:w="1805" w:type="dxa"/>
            <w:shd w:val="clear" w:color="auto" w:fill="FFFFFF"/>
            <w:noWrap w:val="0"/>
            <w:vAlign w:val="center"/>
          </w:tcPr>
          <w:p>
            <w:pPr>
              <w:rPr>
                <w:rFonts w:ascii="宋体" w:hAnsi="宋体" w:eastAsia="宋体" w:cs="宋体"/>
                <w:color w:val="auto"/>
                <w:kern w:val="0"/>
                <w:sz w:val="18"/>
                <w:szCs w:val="18"/>
              </w:rPr>
            </w:pPr>
            <w:r>
              <w:rPr>
                <w:rFonts w:hint="eastAsia" w:ascii="宋体" w:hAnsi="宋体" w:eastAsia="宋体" w:cs="宋体"/>
                <w:color w:val="auto"/>
                <w:kern w:val="0"/>
                <w:sz w:val="18"/>
                <w:szCs w:val="18"/>
              </w:rPr>
              <w:t>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735" w:type="dxa"/>
            <w:shd w:val="clear" w:color="auto" w:fill="FFFFFF"/>
            <w:noWrap w:val="0"/>
            <w:vAlign w:val="center"/>
          </w:tcPr>
          <w:p>
            <w:pPr>
              <w:jc w:val="center"/>
              <w:rPr>
                <w:rFonts w:hint="default" w:ascii="宋体" w:hAnsi="宋体" w:eastAsia="宋体" w:cs="宋体"/>
                <w:b/>
                <w:bCs/>
                <w:color w:val="auto"/>
                <w:kern w:val="0"/>
                <w:sz w:val="18"/>
                <w:szCs w:val="18"/>
                <w:lang w:val="en-US" w:eastAsia="zh-CN"/>
              </w:rPr>
            </w:pPr>
          </w:p>
        </w:tc>
        <w:tc>
          <w:tcPr>
            <w:tcW w:w="9645" w:type="dxa"/>
            <w:gridSpan w:val="2"/>
            <w:shd w:val="clear" w:color="auto" w:fill="FFFFFF"/>
            <w:noWrap w:val="0"/>
            <w:vAlign w:val="center"/>
          </w:tcPr>
          <w:p>
            <w:pPr>
              <w:jc w:val="right"/>
              <w:rPr>
                <w:rFonts w:hint="default" w:ascii="宋体" w:hAnsi="宋体" w:eastAsia="宋体" w:cs="宋体"/>
                <w:b w:val="0"/>
                <w:bCs w:val="0"/>
                <w:color w:val="auto"/>
                <w:kern w:val="0"/>
                <w:sz w:val="18"/>
                <w:szCs w:val="18"/>
                <w:lang w:val="en-US" w:eastAsia="zh-CN" w:bidi="ar-SA"/>
              </w:rPr>
            </w:pPr>
            <w:r>
              <w:rPr>
                <w:rFonts w:hint="eastAsia" w:ascii="宋体" w:hAnsi="宋体" w:cs="宋体"/>
                <w:b w:val="0"/>
                <w:bCs w:val="0"/>
                <w:color w:val="auto"/>
                <w:kern w:val="0"/>
                <w:sz w:val="28"/>
                <w:szCs w:val="28"/>
                <w:lang w:val="en-US" w:eastAsia="zh-CN" w:bidi="ar-SA"/>
              </w:rPr>
              <w:t>合计金额</w:t>
            </w:r>
          </w:p>
        </w:tc>
        <w:tc>
          <w:tcPr>
            <w:tcW w:w="5180" w:type="dxa"/>
            <w:gridSpan w:val="5"/>
            <w:shd w:val="clear" w:color="auto" w:fill="FFFFFF"/>
            <w:noWrap w:val="0"/>
            <w:vAlign w:val="center"/>
          </w:tcPr>
          <w:p>
            <w:pPr>
              <w:jc w:val="center"/>
              <w:rPr>
                <w:rFonts w:hint="default" w:ascii="宋体" w:hAnsi="宋体" w:eastAsia="宋体" w:cs="宋体"/>
                <w:color w:val="auto"/>
                <w:kern w:val="0"/>
                <w:sz w:val="18"/>
                <w:szCs w:val="18"/>
                <w:lang w:val="en-US" w:eastAsia="zh-CN"/>
              </w:rPr>
            </w:pPr>
            <w:bookmarkStart w:id="0" w:name="_GoBack"/>
            <w:bookmarkEnd w:id="0"/>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054F6"/>
    <w:multiLevelType w:val="multilevel"/>
    <w:tmpl w:val="074054F6"/>
    <w:lvl w:ilvl="0" w:tentative="0">
      <w:start w:val="1"/>
      <w:numFmt w:val="decimal"/>
      <w:pStyle w:val="10"/>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D1DF1"/>
    <w:rsid w:val="04AD6945"/>
    <w:rsid w:val="179A6EB4"/>
    <w:rsid w:val="2A147D1D"/>
    <w:rsid w:val="3E0A5721"/>
    <w:rsid w:val="662D1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next w:val="3"/>
    <w:qFormat/>
    <w:uiPriority w:val="0"/>
    <w:rPr>
      <w:rFonts w:ascii="宋体" w:hAnsi="宋体" w:eastAsia="宋体"/>
      <w:sz w:val="52"/>
    </w:rPr>
  </w:style>
  <w:style w:type="paragraph" w:styleId="3">
    <w:name w:val="Body Text"/>
    <w:basedOn w:val="1"/>
    <w:next w:val="1"/>
    <w:qFormat/>
    <w:uiPriority w:val="0"/>
    <w:pPr>
      <w:widowControl/>
      <w:overflowPunct w:val="0"/>
      <w:autoSpaceDE w:val="0"/>
      <w:autoSpaceDN w:val="0"/>
      <w:adjustRightInd w:val="0"/>
      <w:spacing w:before="120" w:after="120"/>
      <w:ind w:left="2552"/>
      <w:jc w:val="left"/>
      <w:textAlignment w:val="baseline"/>
    </w:pPr>
    <w:rPr>
      <w:rFonts w:ascii="Book Antiqua" w:hAnsi="Book Antiqua"/>
      <w:kern w:val="0"/>
      <w:szCs w:val="20"/>
    </w:rPr>
  </w:style>
  <w:style w:type="paragraph" w:styleId="6">
    <w:name w:val="Normal (Web)"/>
    <w:basedOn w:val="1"/>
    <w:qFormat/>
    <w:uiPriority w:val="0"/>
    <w:rPr>
      <w:sz w:val="24"/>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Style1"/>
    <w:next w:val="11"/>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11">
    <w:name w:val="*正文"/>
    <w:basedOn w:val="1"/>
    <w:qFormat/>
    <w:uiPriority w:val="0"/>
    <w:pPr>
      <w:ind w:firstLine="200" w:firstLineChars="200"/>
    </w:pPr>
    <w:rPr>
      <w:rFonts w:ascii="宋体" w:hAnsi="宋体"/>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2022-07-08T06:14:00Z</dcterms:created>
  <dc:creator>Administrator</dc:creator>
  <cp:lastModifiedBy>Administrator</cp:lastModifiedBy>
  <dcterms:modified xsi:type="dcterms:W3CDTF">2022-07-08T07:42:49Z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B474AFDB69324E6A9818A9DD9D79877B</vt:lpwstr>
  </property>
</Properties>
</file>